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9620"/>
      </w:tblGrid>
      <w:tr w:rsidR="00260D45" w:rsidRPr="00260D45" w14:paraId="4FEFA6BB" w14:textId="77777777" w:rsidTr="00260D45">
        <w:trPr>
          <w:trHeight w:val="300"/>
        </w:trPr>
        <w:tc>
          <w:tcPr>
            <w:tcW w:w="10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1425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INFORMACJA DODATKOWA</w:t>
            </w:r>
          </w:p>
        </w:tc>
      </w:tr>
      <w:tr w:rsidR="00260D45" w:rsidRPr="00260D45" w14:paraId="1851231D" w14:textId="77777777" w:rsidTr="00260D45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453A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8E20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60D45" w:rsidRPr="00260D45" w14:paraId="2D6B8B07" w14:textId="77777777" w:rsidTr="00260D45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DFEE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I.</w:t>
            </w:r>
          </w:p>
        </w:tc>
        <w:tc>
          <w:tcPr>
            <w:tcW w:w="9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A9D8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Wprowadzenie do sprawozdania finansowego, obejmuje w szczególności:</w:t>
            </w:r>
          </w:p>
        </w:tc>
      </w:tr>
      <w:tr w:rsidR="00260D45" w:rsidRPr="00260D45" w14:paraId="038D94AC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50EE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7594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260D45" w:rsidRPr="00260D45" w14:paraId="69696F45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3F28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D5F8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nazwę jednostki</w:t>
            </w:r>
          </w:p>
        </w:tc>
      </w:tr>
      <w:tr w:rsidR="00260D45" w:rsidRPr="00260D45" w14:paraId="6837283F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A4A7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5470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 Szkół Nr 16 w Białymstoku</w:t>
            </w:r>
          </w:p>
        </w:tc>
      </w:tr>
      <w:tr w:rsidR="00260D45" w:rsidRPr="00260D45" w14:paraId="567AA8E6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F7BE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1.2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FB5B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siedzibę jednostki</w:t>
            </w:r>
          </w:p>
        </w:tc>
      </w:tr>
      <w:tr w:rsidR="00260D45" w:rsidRPr="00260D45" w14:paraId="4F83BEFB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6D66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C6D5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Białystok, ul. Zwycięstwa 28</w:t>
            </w:r>
          </w:p>
        </w:tc>
      </w:tr>
      <w:tr w:rsidR="00260D45" w:rsidRPr="00260D45" w14:paraId="24B8AB88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88B7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1.3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8CAD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adres jednostki</w:t>
            </w:r>
          </w:p>
        </w:tc>
      </w:tr>
      <w:tr w:rsidR="00260D45" w:rsidRPr="00260D45" w14:paraId="17654ADC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3C6C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E808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15-345 Białystok , ul. Zwycięstwa  28</w:t>
            </w:r>
          </w:p>
        </w:tc>
      </w:tr>
      <w:tr w:rsidR="00260D45" w:rsidRPr="00260D45" w14:paraId="0F70C092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8622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1.4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78046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podstawowy przedmiot działalności jednostki</w:t>
            </w:r>
          </w:p>
        </w:tc>
      </w:tr>
      <w:tr w:rsidR="00260D45" w:rsidRPr="00260D45" w14:paraId="0E1B6AAA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84AEC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F2E2E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8560 Z Działalność edukacyjna </w:t>
            </w:r>
          </w:p>
        </w:tc>
      </w:tr>
      <w:tr w:rsidR="00260D45" w:rsidRPr="00260D45" w14:paraId="08A24F98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A7F7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8F04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wskazanie okresu objętego sprawozdaniem</w:t>
            </w:r>
          </w:p>
        </w:tc>
      </w:tr>
      <w:tr w:rsidR="00260D45" w:rsidRPr="00260D45" w14:paraId="4DC1E5A0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241A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E7E4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Sprawozdanie za  okres 01.01.2023 do 31.12.2023</w:t>
            </w:r>
          </w:p>
        </w:tc>
      </w:tr>
      <w:tr w:rsidR="00260D45" w:rsidRPr="00260D45" w14:paraId="323386C5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1620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8BC8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wskazanie, że sprawozdanie finansowe zawiera dane łączne</w:t>
            </w:r>
          </w:p>
        </w:tc>
      </w:tr>
      <w:tr w:rsidR="00260D45" w:rsidRPr="00260D45" w14:paraId="0E059F2F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0B01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2498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sprawozdanie jednostkowe </w:t>
            </w:r>
          </w:p>
        </w:tc>
      </w:tr>
      <w:tr w:rsidR="00260D45" w:rsidRPr="00260D45" w14:paraId="3E0F01B0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77E3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C0094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omówienie przyjętych zasad (polityki) rachunkowości, w tym metod wyceny aktywów i pasywów (także amortyzacji)</w:t>
            </w:r>
          </w:p>
        </w:tc>
      </w:tr>
      <w:tr w:rsidR="00260D45" w:rsidRPr="00260D45" w14:paraId="4E9DB99C" w14:textId="77777777" w:rsidTr="00260D45">
        <w:trPr>
          <w:trHeight w:val="4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8132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4736" w14:textId="1CFA0036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• Rokiem obrotowym jest okres 12 miesięcy od 1 stycznia do 31 grudnia każdego roku obrotowego. Okresami sprawozdawczymi są poszczególne miesiące, kwartały, półrocza w roku obrotowym i koniec roku.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• Zakładowy plan kont ustala: wykaz kont księgi głównej, przyjęte zasady klasyfikacji zdarzeń, zasady prowadzenia kont pomocniczych oraz ich powiązania z kontami księgi głównej -szczegółowy opis zasad (polityki) rachunkowości określa Zarządzenie Dyrektora Zespołu Szkół nr 16 w Białymstoku  w sprawie wprowadzenia zasad rachunkowości. Księgi rachunkowe prowadzone są przy zastosowaniu technik komputerowych, zbiory ksiąg rachunkowych podlegają ochronie.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• Środki trwałe oraz wartości niematerialne i prawne – w zależności od tego w jaki sposób zostały przyjęte wycenia się według: ceny nabycia lub ceny zakupu, wartości godziwej, w wysokości określonej w decyzji  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o przekazaniu w sposób nieodpłatny – lub w cenie rynkowej, w wartości ewidencyjnej określonej w PT.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dzień bilansowy środki trwałe są wyceniane w wartości netto tj.  z uwzględnieniem odpisów umorzeniowych ustalonych na dzień bilansowy. Umarza się jednorazowo i w całości zalicza się w koszty 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w momencie przyjęcia do eksploatacji składniki majątkowe takie jak odzież, umundurowanie, meble, dywany oraz pozostałe środki trwałe i wartości niematerialne i prawne o wartości nieprzekraczającej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10.000 zł. Przy ustalaniu stawek amortyzacyjnych (umorzeniowych) stosuje się stawki określone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w przepisach o podatku dochodowym od osób prawnych. W jednostce przyjęta jest metoda liniowa amortyzacji dla wszystkich środków trwałych. Środki trwałe w budowie wycenia się na dzień bilansowy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w wysokości kosztów pozostających w bezpośrednim związku z ich nabyciem.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• Aktywa pieniężne na dzień bilansowy wycenia się według wartości nominalnej. Należności krótko 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i długoterminowe oraz </w:t>
            </w:r>
            <w:proofErr w:type="spellStart"/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zowiązania</w:t>
            </w:r>
            <w:proofErr w:type="spellEnd"/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 ujmuje się w księgach według wartości nominalnej wraz z naliczonymi odsetkami.  Należności na dzień bilansowy ujmuje się w wartości netto tj. po dokonaniu odpisów aktualizujących.            </w:t>
            </w:r>
          </w:p>
        </w:tc>
      </w:tr>
      <w:tr w:rsidR="00260D45" w:rsidRPr="00260D45" w14:paraId="6D986A2D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6B18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2DE5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inne informacje</w:t>
            </w:r>
          </w:p>
        </w:tc>
      </w:tr>
      <w:tr w:rsidR="00260D45" w:rsidRPr="00260D45" w14:paraId="6210D9AC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4533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6AF4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6AD04F1B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7CD1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II.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35E5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Dodatkowe informacje i objaśnienia obejmują w szczególności:</w:t>
            </w:r>
          </w:p>
        </w:tc>
      </w:tr>
      <w:tr w:rsidR="00260D45" w:rsidRPr="00260D45" w14:paraId="322CA97D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B27F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9D5D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260D45" w:rsidRPr="00260D45" w14:paraId="5CD25968" w14:textId="77777777" w:rsidTr="00260D45">
        <w:trPr>
          <w:trHeight w:val="7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FCCB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F687" w14:textId="77777777" w:rsidR="00260D45" w:rsidRPr="00260D45" w:rsidRDefault="00260D45" w:rsidP="00260D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</w:t>
            </w:r>
          </w:p>
        </w:tc>
      </w:tr>
      <w:tr w:rsidR="00260D45" w:rsidRPr="00260D45" w14:paraId="76F58512" w14:textId="77777777" w:rsidTr="00260D45">
        <w:trPr>
          <w:trHeight w:val="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CC5BF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AF77E" w14:textId="77777777" w:rsidR="00260D45" w:rsidRPr="00260D45" w:rsidRDefault="00260D45" w:rsidP="00260D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– podobne przedstawienie stanów i tytułów zmian dotychczasowej amortyzacji lub umorzenia</w:t>
            </w:r>
          </w:p>
        </w:tc>
      </w:tr>
      <w:tr w:rsidR="00260D45" w:rsidRPr="00260D45" w14:paraId="09958BAD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FDBF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6C1E" w14:textId="77777777" w:rsidR="00260D45" w:rsidRPr="00260D45" w:rsidRDefault="00260D45" w:rsidP="00260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tabela 1.1</w:t>
            </w:r>
          </w:p>
        </w:tc>
      </w:tr>
      <w:tr w:rsidR="00260D45" w:rsidRPr="00260D45" w14:paraId="4701E2C2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17FB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D17F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aktualną wartość rynkową środków trwałych, w tym dóbr kultury – o ile jednostka dysponuje takimi informacjami</w:t>
            </w:r>
          </w:p>
        </w:tc>
      </w:tr>
      <w:tr w:rsidR="00260D45" w:rsidRPr="00260D45" w14:paraId="59AA4C03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FC5A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D44C" w14:textId="77777777" w:rsidR="00260D45" w:rsidRPr="00260D45" w:rsidRDefault="00260D45" w:rsidP="00260D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brak danych </w:t>
            </w:r>
          </w:p>
        </w:tc>
      </w:tr>
      <w:tr w:rsidR="00260D45" w:rsidRPr="00260D45" w14:paraId="40738796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F836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1.3.</w:t>
            </w:r>
          </w:p>
        </w:tc>
        <w:tc>
          <w:tcPr>
            <w:tcW w:w="9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29C0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kwotę dokonanych w trakcie roku obrotowego odpisów aktualizujących wartość aktywów trwałych odrębnie dla długoterminowych aktywów niefinansowych oraz długoterminowych aktywów finansowych</w:t>
            </w:r>
          </w:p>
        </w:tc>
      </w:tr>
      <w:tr w:rsidR="00260D45" w:rsidRPr="00260D45" w14:paraId="386652A9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615B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AE0F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nie wystąpiły</w:t>
            </w:r>
          </w:p>
        </w:tc>
      </w:tr>
      <w:tr w:rsidR="00260D45" w:rsidRPr="00260D45" w14:paraId="4486B12C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F5BC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1.4.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0D0F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wartość gruntów użytkowanych wieczyście</w:t>
            </w:r>
          </w:p>
        </w:tc>
      </w:tr>
      <w:tr w:rsidR="00260D45" w:rsidRPr="00260D45" w14:paraId="1A54AD80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ABB7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774E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21C43D68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C9E3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1.5.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E0C1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wartość nieamortyzowanych lub nieumarzanych przez jednostkę środków trwałych, używanych na podstawie umów najmu, dzierżawy i innych umów, w tym z tytułu umów leasingu</w:t>
            </w:r>
          </w:p>
        </w:tc>
      </w:tr>
      <w:tr w:rsidR="00260D45" w:rsidRPr="00260D45" w14:paraId="7D12A8D4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8AD6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F53C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1A2DDB93" w14:textId="77777777" w:rsidTr="00260D45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D4E6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1.6.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51CB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liczbę oraz wartość posiadanych papierów wartościowych, w tym akcji i udziałów oraz dłużnych papierów wartościowych</w:t>
            </w:r>
          </w:p>
        </w:tc>
      </w:tr>
      <w:tr w:rsidR="00260D45" w:rsidRPr="00260D45" w14:paraId="2ED51B60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F92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8494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2E537D7E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80439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1.7.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CA16" w14:textId="77777777" w:rsidR="00260D45" w:rsidRPr="00260D45" w:rsidRDefault="00260D45" w:rsidP="00260D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260D45" w:rsidRPr="00260D45" w14:paraId="29590EC8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19E6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5F33" w14:textId="77777777" w:rsidR="00260D45" w:rsidRPr="00260D45" w:rsidRDefault="00260D45" w:rsidP="00260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tabela 1.7</w:t>
            </w:r>
          </w:p>
        </w:tc>
      </w:tr>
      <w:tr w:rsidR="00260D45" w:rsidRPr="00260D45" w14:paraId="615E9A83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CDD2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1.8.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CFD8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dane o stanie rezerw według celu ich utworzenia na początek roku obrotowego, zwiększeniach, wykorzystaniu, rozwiązaniu i stanie końcowym</w:t>
            </w:r>
          </w:p>
        </w:tc>
      </w:tr>
      <w:tr w:rsidR="00260D45" w:rsidRPr="00260D45" w14:paraId="330BD5C7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75F9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97E3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35044111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05F0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1.9.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AF71" w14:textId="77777777" w:rsidR="00260D45" w:rsidRPr="00260D45" w:rsidRDefault="00260D45" w:rsidP="00260D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podział   zobowiązań   długoterminowych  o   pozostałym   od   dnia   bilansowego, przewidywanym umową lub wynikającym z innego tytułu prawnego, okresie spłaty:</w:t>
            </w:r>
          </w:p>
        </w:tc>
      </w:tr>
      <w:tr w:rsidR="00260D45" w:rsidRPr="00260D45" w14:paraId="1740FE8A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F9CC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a)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F207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powyżej 1 roku do 3 lat</w:t>
            </w:r>
          </w:p>
        </w:tc>
      </w:tr>
      <w:tr w:rsidR="00260D45" w:rsidRPr="00260D45" w14:paraId="23EB4450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C1AF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3057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67B5A3DE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6836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b)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AD78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powyżej 3 do 5 lat</w:t>
            </w:r>
          </w:p>
        </w:tc>
      </w:tr>
      <w:tr w:rsidR="00260D45" w:rsidRPr="00260D45" w14:paraId="75752F2D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5C3B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2271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21D1B512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C15E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c)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FBE8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powyżej 5 lat</w:t>
            </w:r>
          </w:p>
        </w:tc>
      </w:tr>
      <w:tr w:rsidR="00260D45" w:rsidRPr="00260D45" w14:paraId="4962E41E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3973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B650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600F4EC4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308E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1.10.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B9BD" w14:textId="77777777" w:rsidR="00260D45" w:rsidRPr="00260D45" w:rsidRDefault="00260D45" w:rsidP="00260D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kwotę zobowiązań w sytuacji gdy jednostka kwalifikuje umowy leasingu zgodnie z przepisami podatkowymi (leasing operacyjny), a według przepisów o rachunkowości byłby to leasing finansowy lub zwrotny z podziałem na kwotę zobowiązań z tytułu leasingu finansowego lub leasingu zwrotnego</w:t>
            </w:r>
          </w:p>
        </w:tc>
      </w:tr>
      <w:tr w:rsidR="00260D45" w:rsidRPr="00260D45" w14:paraId="5E9FD068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9D81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31B6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01C7E723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15F3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E1E5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łączną kwotę zobowiązań zabezpieczonych na majątku jednostki ze wskazaniem charakteru i formy tych zabezpieczeń</w:t>
            </w:r>
          </w:p>
        </w:tc>
      </w:tr>
      <w:tr w:rsidR="00260D45" w:rsidRPr="00260D45" w14:paraId="035F5855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CE21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AC78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4ED8C776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552B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5DD6" w14:textId="77777777" w:rsidR="00260D45" w:rsidRPr="00260D45" w:rsidRDefault="00260D45" w:rsidP="00260D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</w:tr>
      <w:tr w:rsidR="00260D45" w:rsidRPr="00260D45" w14:paraId="3F6B1DAF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E935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934F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191E9BD1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9047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1.13.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B521" w14:textId="77777777" w:rsidR="00260D45" w:rsidRPr="00260D45" w:rsidRDefault="00260D45" w:rsidP="00260D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260D45" w:rsidRPr="00260D45" w14:paraId="4826444B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58D2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5D75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rozliczenia czynne         -   nie dotyczy                                                                                    </w:t>
            </w:r>
          </w:p>
        </w:tc>
      </w:tr>
      <w:tr w:rsidR="00260D45" w:rsidRPr="00260D45" w14:paraId="349527FE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D592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4A8F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rozliczenia bierne           -  nie dotyczy</w:t>
            </w:r>
          </w:p>
        </w:tc>
      </w:tr>
      <w:tr w:rsidR="00260D45" w:rsidRPr="00260D45" w14:paraId="001357AF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FF28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1.14.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911A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łączną kwotę otrzymanych przez jednostkę gwarancji i poręczeń niewykazanych w bilansie</w:t>
            </w:r>
          </w:p>
        </w:tc>
      </w:tr>
      <w:tr w:rsidR="00260D45" w:rsidRPr="00260D45" w14:paraId="245846EC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81C3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B741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100A2001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8FD8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1.15.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2F95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kwotę wypłaconych środków pieniężnych na świadczenia pracownicze</w:t>
            </w:r>
          </w:p>
        </w:tc>
      </w:tr>
      <w:tr w:rsidR="00260D45" w:rsidRPr="00260D45" w14:paraId="2A60674E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74AB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A7B3" w14:textId="77777777" w:rsidR="00260D45" w:rsidRPr="00260D45" w:rsidRDefault="00260D45" w:rsidP="00260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13 235 134,59</w:t>
            </w:r>
          </w:p>
        </w:tc>
      </w:tr>
      <w:tr w:rsidR="00260D45" w:rsidRPr="00260D45" w14:paraId="6A16ECB4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D6AE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1.16.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A5A7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inne informacje</w:t>
            </w:r>
          </w:p>
        </w:tc>
      </w:tr>
      <w:tr w:rsidR="00260D45" w:rsidRPr="00260D45" w14:paraId="2FA89CBF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AAF5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22C42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093D9616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0AC6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4164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260D45" w:rsidRPr="00260D45" w14:paraId="77B511ED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8E08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79AF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wysokość odpisów aktualizujących wartość zapasów</w:t>
            </w:r>
          </w:p>
        </w:tc>
      </w:tr>
      <w:tr w:rsidR="00260D45" w:rsidRPr="00260D45" w14:paraId="0212B327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ABE7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B209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746E1299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9545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3117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260D45" w:rsidRPr="00260D45" w14:paraId="1A02F77A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7038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D8E7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2C25BF47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C9D3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2.3.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A0EE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kwotę i charakter poszczególnych pozycji przychodów lub kosztów o nadzwyczajnej wartości lub które wystąpiły incydentalnie</w:t>
            </w:r>
          </w:p>
        </w:tc>
      </w:tr>
      <w:tr w:rsidR="00260D45" w:rsidRPr="00260D45" w14:paraId="3453CBFE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C12A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2ED6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14DA882B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99AE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2.4.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69D8" w14:textId="77777777" w:rsidR="00260D45" w:rsidRPr="00260D45" w:rsidRDefault="00260D45" w:rsidP="00260D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260D45" w:rsidRPr="00260D45" w14:paraId="403D6404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A779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9C3A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480B5A1B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CC8A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2.5.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90DD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inne informacje</w:t>
            </w:r>
          </w:p>
        </w:tc>
      </w:tr>
      <w:tr w:rsidR="00260D45" w:rsidRPr="00260D45" w14:paraId="18A9D4F7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A641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13C3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260D45" w:rsidRPr="00260D45" w14:paraId="3EE788A5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D941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5E11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Inne informacje niż wymienione powyżej, jeżeli mogłyby w istotny sposób wpłynąć na ocenę sytuacji majątkowej i finansowej oraz wynik finansowy jednostki</w:t>
            </w:r>
          </w:p>
        </w:tc>
      </w:tr>
      <w:tr w:rsidR="00260D45" w:rsidRPr="00260D45" w14:paraId="78F7FE8D" w14:textId="77777777" w:rsidTr="00260D4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ECF2" w14:textId="77777777" w:rsidR="00260D45" w:rsidRPr="00260D45" w:rsidRDefault="00260D45" w:rsidP="00260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D2EF" w14:textId="77777777" w:rsidR="00260D45" w:rsidRPr="00260D45" w:rsidRDefault="00260D45" w:rsidP="0026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</w:tbl>
    <w:p w14:paraId="5572B775" w14:textId="77777777" w:rsidR="00D457B9" w:rsidRDefault="00D457B9"/>
    <w:sectPr w:rsidR="00D457B9" w:rsidSect="00676A4E">
      <w:pgSz w:w="11906" w:h="16838"/>
      <w:pgMar w:top="851" w:right="340" w:bottom="851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45"/>
    <w:rsid w:val="00260D45"/>
    <w:rsid w:val="00676A4E"/>
    <w:rsid w:val="00D457B9"/>
    <w:rsid w:val="00F2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23C59"/>
  <w15:chartTrackingRefBased/>
  <w15:docId w15:val="{42DB619B-B2AD-460F-AF2F-FC3BF1AF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23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992</Words>
  <Characters>5953</Characters>
  <Application>Microsoft Office Word</Application>
  <DocSecurity>0</DocSecurity>
  <Lines>49</Lines>
  <Paragraphs>13</Paragraphs>
  <ScaleCrop>false</ScaleCrop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2024-05-08T07:24:00Z</dcterms:created>
  <dcterms:modified xsi:type="dcterms:W3CDTF">2024-05-08T07:35:00Z</dcterms:modified>
</cp:coreProperties>
</file>